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A254A" w14:textId="7381E50C" w:rsid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  <w:r w:rsidRPr="00975580">
        <w:rPr>
          <w:rFonts w:ascii="Arial" w:hAnsi="Arial" w:cs="Arial"/>
          <w:b/>
          <w:bCs/>
          <w:kern w:val="0"/>
          <w:sz w:val="28"/>
          <w:szCs w:val="28"/>
          <w14:ligatures w14:val="none"/>
        </w:rPr>
        <w:t>Порядок отнесения объектов контроля к категориям риска</w:t>
      </w:r>
    </w:p>
    <w:p w14:paraId="22E922D0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center"/>
        <w:rPr>
          <w:rFonts w:ascii="Arial" w:hAnsi="Arial" w:cs="Arial"/>
          <w:b/>
          <w:bCs/>
          <w:kern w:val="0"/>
          <w:sz w:val="28"/>
          <w:szCs w:val="28"/>
          <w14:ligatures w14:val="none"/>
        </w:rPr>
      </w:pPr>
    </w:p>
    <w:p w14:paraId="11C2EFC9" w14:textId="2DF1F329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kern w:val="0"/>
          <w:lang w:eastAsia="ru-RU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>В целях управления рисками причинения вреда (ущерба) при осуществлении муниципального контроля, контрольный орган относит объекты контроля к одной из следующих категорий риска причинения вреда (ущерба) (далее - категории риска): 1) высокого риска; 2) среднего риска; 3) низкого риска.</w:t>
      </w:r>
    </w:p>
    <w:p w14:paraId="7E75A93D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При отнесении объектов контроля к категориям риска используются в том числе: сведения, содержащиеся в Едином государственном реестре недвижимости; сведения, получаемые при проведении должностными лицами контрольных мероприятий без взаимодействия с контролируемыми лицами; иные сведения. </w:t>
      </w:r>
    </w:p>
    <w:p w14:paraId="02EA8459" w14:textId="22E6BA03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 Контролируемое лицо вправе подать в контрольный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 </w:t>
      </w:r>
    </w:p>
    <w:p w14:paraId="79E3EF1E" w14:textId="0B30AEDE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 </w:t>
      </w:r>
    </w:p>
    <w:p w14:paraId="38595939" w14:textId="23F75FAE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  К категории высокого риска относятся: </w:t>
      </w:r>
    </w:p>
    <w:p w14:paraId="56C0ABE8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-территории с массовым пребыванием людей, детские площадки, спортивные и другие площадки отдыха и досуга, пешеходные дорожки вдоль проезжих частей улиц населенных пунктов. </w:t>
      </w:r>
    </w:p>
    <w:p w14:paraId="388FD912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 К категории среднего риска относятся:</w:t>
      </w:r>
    </w:p>
    <w:p w14:paraId="01874FB3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 xml:space="preserve">- вывески, фасады зданий, строений, сооружений, малые архитектурные формы, некапитальные нестационарные строения и сооружения, информационные щиты, указатели, ограждающие устройства. </w:t>
      </w:r>
    </w:p>
    <w:p w14:paraId="3F09366E" w14:textId="77777777" w:rsidR="00975580" w:rsidRPr="00975580" w:rsidRDefault="00975580" w:rsidP="0097558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Arial" w:hAnsi="Arial" w:cs="Arial"/>
          <w:kern w:val="0"/>
          <w14:ligatures w14:val="none"/>
        </w:rPr>
      </w:pPr>
      <w:r w:rsidRPr="00975580">
        <w:rPr>
          <w:rFonts w:ascii="Arial" w:hAnsi="Arial" w:cs="Arial"/>
          <w:kern w:val="0"/>
          <w14:ligatures w14:val="none"/>
        </w:rPr>
        <w:t>К категории низкого риска относятся все иные объекты контроля в сфере благоустройства.</w:t>
      </w:r>
    </w:p>
    <w:p w14:paraId="5BF31FEF" w14:textId="77777777" w:rsidR="00142B2D" w:rsidRDefault="00142B2D"/>
    <w:sectPr w:rsidR="00142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B2D"/>
    <w:rsid w:val="00142B2D"/>
    <w:rsid w:val="00880805"/>
    <w:rsid w:val="0097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A1705"/>
  <w15:chartTrackingRefBased/>
  <w15:docId w15:val="{3DE649FF-DF9C-4B59-958E-24B80492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2B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2B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2B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2B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2B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2B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2B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2B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2B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2B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2B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2B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2B2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2B2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2B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2B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2B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2B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2B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2B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2B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2B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2B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2B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2B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2B2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2B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2B2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2B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2</cp:revision>
  <dcterms:created xsi:type="dcterms:W3CDTF">2026-06-30T07:58:00Z</dcterms:created>
  <dcterms:modified xsi:type="dcterms:W3CDTF">2026-06-30T08:00:00Z</dcterms:modified>
</cp:coreProperties>
</file>